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C707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16</w:t>
      </w:r>
      <w:r>
        <w:rPr>
          <w:rFonts w:hint="eastAsia" w:ascii="Arial" w:hAnsi="Arial" w:cs="Arial"/>
          <w:b/>
          <w:lang w:val="en-US" w:eastAsia="zh-CN"/>
        </w:rPr>
        <w:tab/>
      </w:r>
      <w:r>
        <w:rPr>
          <w:rFonts w:ascii="Arial" w:hAnsi="Arial" w:cs="Arial"/>
          <w:b/>
          <w:bCs/>
        </w:rPr>
        <w:tab/>
      </w:r>
      <w:r>
        <w:rPr>
          <w:rFonts w:ascii="Arial" w:hAnsi="Arial" w:cs="Arial"/>
          <w:b/>
          <w:bCs/>
          <w:highlight w:val="none"/>
        </w:rPr>
        <w:t>R4-2</w:t>
      </w:r>
      <w:bookmarkEnd w:id="0"/>
      <w:r>
        <w:rPr>
          <w:rFonts w:hint="eastAsia" w:ascii="Arial" w:hAnsi="Arial" w:cs="Arial"/>
          <w:b/>
          <w:bCs/>
          <w:highlight w:val="none"/>
          <w:lang w:val="en-US" w:eastAsia="zh-CN"/>
        </w:rPr>
        <w:t>510028</w:t>
      </w:r>
    </w:p>
    <w:p w14:paraId="602E3476">
      <w:pPr>
        <w:pStyle w:val="18"/>
        <w:tabs>
          <w:tab w:val="right" w:pos="9781"/>
          <w:tab w:val="right" w:pos="13323"/>
          <w:tab w:val="clear" w:pos="4153"/>
          <w:tab w:val="clear" w:pos="8306"/>
        </w:tabs>
        <w:spacing w:before="60" w:after="60"/>
        <w:outlineLvl w:val="0"/>
        <w:rPr>
          <w:b/>
          <w:sz w:val="22"/>
          <w:highlight w:val="yellow"/>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019B4445">
      <w:pPr>
        <w:tabs>
          <w:tab w:val="left" w:pos="1765"/>
          <w:tab w:val="center" w:pos="4557"/>
        </w:tabs>
        <w:rPr>
          <w:b/>
          <w:sz w:val="22"/>
        </w:rPr>
      </w:pPr>
    </w:p>
    <w:p w14:paraId="3B2ACF49">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7.23.3.2</w:t>
      </w:r>
    </w:p>
    <w:p w14:paraId="717C0F0D">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14:paraId="69E5E1E4">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RRM requirement of signal adaptation for NES enhancement</w:t>
      </w:r>
    </w:p>
    <w:bookmarkEnd w:id="3"/>
    <w:bookmarkEnd w:id="4"/>
    <w:p w14:paraId="7BD7B317">
      <w:pPr>
        <w:tabs>
          <w:tab w:val="left" w:pos="1765"/>
        </w:tabs>
        <w:rPr>
          <w:sz w:val="22"/>
        </w:rPr>
      </w:pPr>
      <w:r>
        <w:rPr>
          <w:b/>
          <w:sz w:val="22"/>
        </w:rPr>
        <w:t>Document for:</w:t>
      </w:r>
      <w:r>
        <w:rPr>
          <w:b/>
          <w:sz w:val="22"/>
        </w:rPr>
        <w:tab/>
      </w:r>
      <w:r>
        <w:rPr>
          <w:sz w:val="22"/>
        </w:rPr>
        <w:t>Discussion</w:t>
      </w:r>
    </w:p>
    <w:p w14:paraId="745B317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44ED94C">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last meeting, RAN4 discussed SSB signal adaptation related issues, ag</w:t>
      </w:r>
      <w:bookmarkStart w:id="8" w:name="_GoBack"/>
      <w:bookmarkEnd w:id="8"/>
      <w:r>
        <w:rPr>
          <w:rFonts w:hint="eastAsia" w:eastAsia="宋体"/>
          <w:sz w:val="20"/>
          <w:szCs w:val="20"/>
          <w:lang w:val="en-US" w:eastAsia="zh-CN"/>
        </w:rPr>
        <w:t>reements and open issues have been approved in the WF [1]. In this paper, we further discuss open issues, and identify RAN4 impacts according to the progress of other working group.</w:t>
      </w:r>
    </w:p>
    <w:p w14:paraId="3C73F735">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Discussion</w:t>
      </w:r>
    </w:p>
    <w:p w14:paraId="3001A7EB">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 xml:space="preserve">Issue 1-3-4: Colliding with MG </w:t>
      </w:r>
    </w:p>
    <w:p w14:paraId="4A93A4D5">
      <w:pPr>
        <w:keepNext w:val="0"/>
        <w:keepLines w:val="0"/>
        <w:pageBreakBefore w:val="0"/>
        <w:widowControl/>
        <w:kinsoku/>
        <w:wordWrap/>
        <w:overflowPunct/>
        <w:topLinePunct w:val="0"/>
        <w:autoSpaceDE/>
        <w:autoSpaceDN/>
        <w:bidi w:val="0"/>
        <w:adjustRightInd/>
        <w:snapToGrid/>
        <w:spacing w:before="60" w:after="60"/>
        <w:textAlignment w:val="auto"/>
        <w:rPr>
          <w:b w:val="0"/>
          <w:bCs w:val="0"/>
          <w:i/>
          <w:iCs/>
          <w:sz w:val="20"/>
          <w:szCs w:val="20"/>
          <w:highlight w:val="none"/>
          <w:lang w:val="sv-SE" w:eastAsia="zh-CN"/>
        </w:rPr>
      </w:pPr>
      <w:r>
        <w:rPr>
          <w:b w:val="0"/>
          <w:bCs w:val="0"/>
          <w:i/>
          <w:iCs/>
          <w:sz w:val="20"/>
          <w:szCs w:val="20"/>
          <w:highlight w:val="none"/>
          <w:lang w:val="sv-SE" w:eastAsia="zh-CN"/>
        </w:rPr>
        <w:t>Proposals</w:t>
      </w:r>
    </w:p>
    <w:p w14:paraId="1D275DA4">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 xml:space="preserve">Option 1: If the SMTC occasion of the selected additional SMTC configuration collides with MG occasion, the UE is allowed to skip measurements in the overlapping SMTC occasion of the serving SCell. </w:t>
      </w:r>
    </w:p>
    <w:p w14:paraId="2AE94DD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For current L3 measurement, when SMTC is overlapping with MG, the measurement in MG has higher priority, and this is reflected in the scaling factor Kp. We think this principle shall also be followed for the adapted SSB and related additional SMTC.</w:t>
      </w:r>
    </w:p>
    <w:p w14:paraId="0433527E">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bCs/>
          <w:i/>
          <w:iCs/>
          <w:sz w:val="20"/>
          <w:szCs w:val="20"/>
          <w:lang w:val="en-US" w:eastAsia="zh-CN"/>
        </w:rPr>
      </w:pPr>
      <w:r>
        <w:rPr>
          <w:rFonts w:hint="eastAsia"/>
          <w:b/>
          <w:bCs/>
          <w:i/>
          <w:iCs/>
          <w:sz w:val="20"/>
          <w:szCs w:val="20"/>
          <w:lang w:val="en-US" w:eastAsia="zh-CN"/>
        </w:rPr>
        <w:t>Proposal 1: When the selected additional SMTC is overlapping with MG, the legacy measurement principle and scaling factor Kp shall be reused.</w:t>
      </w:r>
    </w:p>
    <w:p w14:paraId="3278E907">
      <w:pPr>
        <w:rPr>
          <w:rFonts w:hint="eastAsia"/>
          <w:b/>
          <w:i/>
          <w:iCs/>
          <w:sz w:val="20"/>
          <w:szCs w:val="20"/>
          <w:u w:val="single"/>
          <w:lang w:val="en-US" w:eastAsia="zh-CN"/>
        </w:rPr>
      </w:pPr>
    </w:p>
    <w:p w14:paraId="5DA0991A">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zh-CN"/>
        </w:rPr>
      </w:pPr>
      <w:r>
        <w:rPr>
          <w:b/>
          <w:i/>
          <w:iCs/>
          <w:sz w:val="20"/>
          <w:szCs w:val="20"/>
          <w:u w:val="single"/>
          <w:lang w:eastAsia="zh-CN"/>
        </w:rPr>
        <w:t>Issue 1-4-2: SCell activation requirement for SSB adaptation – applicable SCell activation requirements</w:t>
      </w:r>
    </w:p>
    <w:p w14:paraId="751E7147">
      <w:pPr>
        <w:keepNext w:val="0"/>
        <w:keepLines w:val="0"/>
        <w:pageBreakBefore w:val="0"/>
        <w:widowControl/>
        <w:kinsoku/>
        <w:wordWrap/>
        <w:overflowPunct/>
        <w:topLinePunct w:val="0"/>
        <w:autoSpaceDE/>
        <w:autoSpaceDN/>
        <w:bidi w:val="0"/>
        <w:adjustRightInd/>
        <w:snapToGrid/>
        <w:spacing w:before="60" w:after="60"/>
        <w:textAlignment w:val="auto"/>
        <w:rPr>
          <w:b w:val="0"/>
          <w:bCs w:val="0"/>
          <w:i/>
          <w:iCs/>
          <w:sz w:val="20"/>
          <w:szCs w:val="20"/>
          <w:highlight w:val="none"/>
          <w:lang w:val="sv-SE" w:eastAsia="zh-CN"/>
        </w:rPr>
      </w:pPr>
      <w:r>
        <w:rPr>
          <w:b w:val="0"/>
          <w:bCs w:val="0"/>
          <w:i/>
          <w:iCs/>
          <w:sz w:val="20"/>
          <w:szCs w:val="20"/>
          <w:highlight w:val="none"/>
          <w:lang w:val="sv-SE" w:eastAsia="zh-CN"/>
        </w:rPr>
        <w:t>Proposals</w:t>
      </w:r>
    </w:p>
    <w:p w14:paraId="2BECB425">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 xml:space="preserve">Option 1: R18 Scell activation with L3 reporting </w:t>
      </w:r>
    </w:p>
    <w:p w14:paraId="6B0C7AFC">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Option 2: multiple SCells activation scenario with SSB adaptation</w:t>
      </w:r>
    </w:p>
    <w:p w14:paraId="0D2F8A44">
      <w:pPr>
        <w:rPr>
          <w:rFonts w:hint="default"/>
          <w:b w:val="0"/>
          <w:bCs/>
          <w:szCs w:val="24"/>
          <w:highlight w:val="green"/>
          <w:u w:val="none"/>
          <w:lang w:val="en-US" w:eastAsia="zh-CN"/>
        </w:rPr>
      </w:pPr>
      <w:r>
        <w:rPr>
          <w:rFonts w:hint="eastAsia"/>
          <w:b w:val="0"/>
          <w:bCs/>
          <w:i/>
          <w:iCs/>
          <w:sz w:val="20"/>
          <w:szCs w:val="20"/>
          <w:highlight w:val="green"/>
          <w:u w:val="none"/>
          <w:lang w:val="en-US" w:eastAsia="zh-CN"/>
        </w:rPr>
        <w:t>Agreement from RAN4#114bis:</w:t>
      </w:r>
    </w:p>
    <w:p w14:paraId="5F1B32AD">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 xml:space="preserve">Normal SCell activation </w:t>
      </w:r>
    </w:p>
    <w:p w14:paraId="27A8DB27">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Direct SCell activation</w:t>
      </w:r>
    </w:p>
    <w:p w14:paraId="70A541EE">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PUCCH SCell activation</w:t>
      </w:r>
    </w:p>
    <w:p w14:paraId="3941FD7E">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FFS</w:t>
      </w:r>
      <w:r>
        <w:rPr>
          <w:rFonts w:eastAsia="宋体"/>
          <w:i/>
          <w:iCs/>
          <w:color w:val="auto"/>
          <w:sz w:val="20"/>
          <w:szCs w:val="20"/>
          <w:lang w:val="en-US" w:eastAsia="zh-CN"/>
        </w:rPr>
        <w:t xml:space="preserve"> Rel-18 SCell activation with L3 reporting  </w:t>
      </w:r>
    </w:p>
    <w:p w14:paraId="1BFF4196">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 xml:space="preserve">FFS Multiple SCells activation </w:t>
      </w:r>
    </w:p>
    <w:p w14:paraId="14247D87">
      <w:pPr>
        <w:rPr>
          <w:rFonts w:hint="default"/>
          <w:b w:val="0"/>
          <w:bCs/>
          <w:i/>
          <w:iCs/>
          <w:sz w:val="20"/>
          <w:szCs w:val="20"/>
          <w:highlight w:val="green"/>
          <w:u w:val="none"/>
          <w:lang w:val="en-US" w:eastAsia="zh-CN"/>
        </w:rPr>
      </w:pPr>
      <w:r>
        <w:rPr>
          <w:rFonts w:hint="eastAsia"/>
          <w:b w:val="0"/>
          <w:bCs/>
          <w:i/>
          <w:iCs/>
          <w:sz w:val="20"/>
          <w:szCs w:val="20"/>
          <w:highlight w:val="green"/>
          <w:u w:val="none"/>
          <w:lang w:val="en-US" w:eastAsia="zh-CN"/>
        </w:rPr>
        <w:t>Agreement from RAN4#114:</w:t>
      </w:r>
    </w:p>
    <w:p w14:paraId="11D10E09">
      <w:pPr>
        <w:pStyle w:val="76"/>
        <w:keepNext w:val="0"/>
        <w:keepLines w:val="0"/>
        <w:pageBreakBefore w:val="0"/>
        <w:widowControl/>
        <w:numPr>
          <w:ilvl w:val="0"/>
          <w:numId w:val="0"/>
        </w:numPr>
        <w:kinsoku/>
        <w:wordWrap/>
        <w:overflowPunct/>
        <w:topLinePunct w:val="0"/>
        <w:autoSpaceDE/>
        <w:autoSpaceDN/>
        <w:bidi w:val="0"/>
        <w:adjustRightInd/>
        <w:snapToGrid/>
        <w:spacing w:before="60" w:after="60"/>
        <w:ind w:left="360" w:leftChars="0"/>
        <w:textAlignment w:val="auto"/>
        <w:rPr>
          <w:rFonts w:eastAsia="宋体"/>
          <w:i/>
          <w:iCs/>
          <w:color w:val="auto"/>
          <w:sz w:val="20"/>
          <w:szCs w:val="20"/>
          <w:lang w:val="en-US" w:eastAsia="zh-CN"/>
        </w:rPr>
      </w:pPr>
      <w:r>
        <w:rPr>
          <w:rFonts w:hint="eastAsia" w:eastAsia="宋体"/>
          <w:i/>
          <w:iCs/>
          <w:color w:val="auto"/>
          <w:sz w:val="20"/>
          <w:szCs w:val="20"/>
          <w:lang w:val="en-US" w:eastAsia="zh-CN"/>
        </w:rPr>
        <w:t>F</w:t>
      </w:r>
      <w:r>
        <w:rPr>
          <w:rFonts w:eastAsia="宋体"/>
          <w:i/>
          <w:iCs/>
          <w:color w:val="auto"/>
          <w:sz w:val="20"/>
          <w:szCs w:val="20"/>
          <w:lang w:val="en-US" w:eastAsia="zh-CN"/>
        </w:rPr>
        <w:t>or SCell activation</w:t>
      </w:r>
      <w:r>
        <w:rPr>
          <w:rFonts w:hint="eastAsia" w:eastAsia="宋体"/>
          <w:i/>
          <w:iCs/>
          <w:color w:val="auto"/>
          <w:sz w:val="20"/>
          <w:szCs w:val="20"/>
          <w:lang w:val="en-US" w:eastAsia="zh-CN"/>
        </w:rPr>
        <w:t>:</w:t>
      </w:r>
      <w:r>
        <w:rPr>
          <w:rFonts w:eastAsia="宋体"/>
          <w:i/>
          <w:iCs/>
          <w:color w:val="auto"/>
          <w:sz w:val="20"/>
          <w:szCs w:val="20"/>
          <w:lang w:val="en-US" w:eastAsia="zh-CN"/>
        </w:rPr>
        <w:t xml:space="preserve"> </w:t>
      </w:r>
    </w:p>
    <w:p w14:paraId="1C142525">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Define the SCell activation requirements based on the SSB periodicity after SSB adaptation.</w:t>
      </w:r>
    </w:p>
    <w:p w14:paraId="4BE1C6EB">
      <w:pPr>
        <w:pStyle w:val="76"/>
        <w:keepNext w:val="0"/>
        <w:keepLines w:val="0"/>
        <w:pageBreakBefore w:val="0"/>
        <w:widowControl/>
        <w:numPr>
          <w:ilvl w:val="1"/>
          <w:numId w:val="5"/>
        </w:numPr>
        <w:kinsoku/>
        <w:wordWrap/>
        <w:overflowPunct/>
        <w:topLinePunct w:val="0"/>
        <w:autoSpaceDE/>
        <w:autoSpaceDN/>
        <w:bidi w:val="0"/>
        <w:adjustRightInd/>
        <w:snapToGrid/>
        <w:spacing w:before="60" w:after="60"/>
        <w:ind w:left="1140" w:leftChars="0" w:firstLineChars="0"/>
        <w:textAlignment w:val="auto"/>
        <w:rPr>
          <w:rFonts w:eastAsia="宋体"/>
          <w:i/>
          <w:iCs/>
          <w:color w:val="auto"/>
          <w:sz w:val="20"/>
          <w:szCs w:val="20"/>
          <w:lang w:val="en-US" w:eastAsia="zh-CN"/>
        </w:rPr>
      </w:pPr>
      <w:r>
        <w:rPr>
          <w:rFonts w:hint="eastAsia" w:eastAsia="宋体"/>
          <w:i/>
          <w:iCs/>
          <w:color w:val="auto"/>
          <w:sz w:val="20"/>
          <w:szCs w:val="20"/>
          <w:lang w:val="en-US" w:eastAsia="zh-CN"/>
        </w:rPr>
        <w:t>F</w:t>
      </w:r>
      <w:r>
        <w:rPr>
          <w:rFonts w:eastAsia="宋体"/>
          <w:i/>
          <w:iCs/>
          <w:color w:val="auto"/>
          <w:sz w:val="20"/>
          <w:szCs w:val="20"/>
          <w:lang w:val="en-US" w:eastAsia="zh-CN"/>
        </w:rPr>
        <w:t>or the case SSB adaptation command comes together with SCell activation command.</w:t>
      </w:r>
    </w:p>
    <w:p w14:paraId="66C43FDA">
      <w:pPr>
        <w:rPr>
          <w:rFonts w:hint="eastAsia"/>
          <w:b w:val="0"/>
          <w:bCs/>
          <w:i/>
          <w:iCs/>
          <w:sz w:val="20"/>
          <w:szCs w:val="20"/>
          <w:highlight w:val="green"/>
          <w:u w:val="none"/>
          <w:lang w:val="en-US" w:eastAsia="zh-CN"/>
        </w:rPr>
      </w:pPr>
      <w:r>
        <w:rPr>
          <w:rFonts w:hint="eastAsia"/>
          <w:b w:val="0"/>
          <w:bCs/>
          <w:i/>
          <w:iCs/>
          <w:sz w:val="20"/>
          <w:szCs w:val="20"/>
          <w:highlight w:val="green"/>
          <w:u w:val="none"/>
          <w:lang w:val="en-US" w:eastAsia="zh-CN"/>
        </w:rPr>
        <w:t>Agreement from RAN4#115:</w:t>
      </w:r>
    </w:p>
    <w:p w14:paraId="060E22B7">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20" w:firstLineChars="0"/>
        <w:textAlignment w:val="auto"/>
        <w:rPr>
          <w:rFonts w:eastAsia="宋体"/>
          <w:i/>
          <w:iCs/>
          <w:color w:val="auto"/>
          <w:sz w:val="20"/>
          <w:szCs w:val="20"/>
          <w:lang w:val="en-US" w:eastAsia="zh-CN"/>
        </w:rPr>
      </w:pPr>
      <w:r>
        <w:rPr>
          <w:rFonts w:eastAsia="宋体"/>
          <w:i/>
          <w:iCs/>
          <w:color w:val="auto"/>
          <w:sz w:val="20"/>
          <w:szCs w:val="20"/>
          <w:lang w:val="en-US" w:eastAsia="zh-CN"/>
        </w:rPr>
        <w:t>For the conditions for SCell activation with SSB adaptation, SSB adaptation command comes no later than SCell activation command.</w:t>
      </w:r>
    </w:p>
    <w:p w14:paraId="679B517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In RAN4#114bis meeting, RAN4 agreed to define Direct SCell activation requirements based on the SSB periodicity after SSB adaptation, for the case that SSB adaptation command comes no later than SCell activation command as revised in RAN4#115.</w:t>
      </w:r>
    </w:p>
    <w:p w14:paraId="22F7846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However, for Direct SCell activation, before SCell activation command, there is no SCell, so no SSB adaptation can be applied for this Cell. Furthermore, the SCell activation requirement can not be defined by SSB periodicity after SSB adaptation.</w:t>
      </w:r>
    </w:p>
    <w:p w14:paraId="4EC18C6D">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bCs/>
          <w:i/>
          <w:iCs/>
          <w:sz w:val="20"/>
          <w:szCs w:val="20"/>
          <w:lang w:val="en-US" w:eastAsia="zh-CN"/>
        </w:rPr>
      </w:pPr>
      <w:r>
        <w:rPr>
          <w:rFonts w:hint="eastAsia"/>
          <w:b/>
          <w:bCs/>
          <w:i/>
          <w:iCs/>
          <w:sz w:val="20"/>
          <w:szCs w:val="20"/>
          <w:lang w:val="en-US" w:eastAsia="zh-CN"/>
        </w:rPr>
        <w:t xml:space="preserve">Proposal 2: The SSB adaptation based SCell activation requirements can not be applied for </w:t>
      </w:r>
      <w:r>
        <w:rPr>
          <w:rFonts w:hint="default"/>
          <w:b/>
          <w:bCs/>
          <w:i/>
          <w:iCs/>
          <w:sz w:val="20"/>
          <w:szCs w:val="20"/>
          <w:lang w:val="en-US" w:eastAsia="zh-CN"/>
        </w:rPr>
        <w:t>‘</w:t>
      </w:r>
      <w:r>
        <w:rPr>
          <w:rFonts w:hint="eastAsia"/>
          <w:b/>
          <w:bCs/>
          <w:i/>
          <w:iCs/>
          <w:sz w:val="20"/>
          <w:szCs w:val="20"/>
          <w:lang w:val="en-US" w:eastAsia="zh-CN"/>
        </w:rPr>
        <w:t>Direct SCell activation</w:t>
      </w:r>
      <w:r>
        <w:rPr>
          <w:rFonts w:hint="default"/>
          <w:b/>
          <w:bCs/>
          <w:i/>
          <w:iCs/>
          <w:sz w:val="20"/>
          <w:szCs w:val="20"/>
          <w:lang w:val="en-US" w:eastAsia="zh-CN"/>
        </w:rPr>
        <w:t>’</w:t>
      </w:r>
      <w:r>
        <w:rPr>
          <w:rFonts w:hint="eastAsia"/>
          <w:b/>
          <w:bCs/>
          <w:i/>
          <w:iCs/>
          <w:sz w:val="20"/>
          <w:szCs w:val="20"/>
          <w:lang w:val="en-US" w:eastAsia="zh-CN"/>
        </w:rPr>
        <w:t>.</w:t>
      </w:r>
    </w:p>
    <w:bookmarkEnd w:id="5"/>
    <w:p w14:paraId="0F4F5B9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7D3AB0D">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Based on the discussion above, the following proposals</w:t>
      </w:r>
      <w:r>
        <w:rPr>
          <w:rFonts w:hint="eastAsia"/>
          <w:sz w:val="20"/>
          <w:szCs w:val="20"/>
          <w:lang w:val="en-US" w:eastAsia="zh-CN"/>
        </w:rPr>
        <w:t xml:space="preserve"> </w:t>
      </w:r>
      <w:r>
        <w:rPr>
          <w:sz w:val="20"/>
          <w:szCs w:val="20"/>
        </w:rPr>
        <w:t xml:space="preserve">are concluded. </w:t>
      </w:r>
      <w:bookmarkEnd w:id="6"/>
      <w:bookmarkEnd w:id="7"/>
    </w:p>
    <w:p w14:paraId="1D889840">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bCs/>
          <w:i/>
          <w:iCs/>
          <w:sz w:val="20"/>
          <w:szCs w:val="20"/>
          <w:lang w:val="en-US" w:eastAsia="zh-CN"/>
        </w:rPr>
      </w:pPr>
      <w:r>
        <w:rPr>
          <w:rFonts w:hint="eastAsia"/>
          <w:b/>
          <w:bCs/>
          <w:i/>
          <w:iCs/>
          <w:sz w:val="20"/>
          <w:szCs w:val="20"/>
          <w:lang w:val="en-US" w:eastAsia="zh-CN"/>
        </w:rPr>
        <w:t>Proposal 1: When the selected additional SMTC is overlapping with MG, the legacy measurement principle and scaling factor Kp shall be reused.</w:t>
      </w:r>
    </w:p>
    <w:p w14:paraId="28A2CA18">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bCs/>
          <w:i/>
          <w:iCs/>
          <w:sz w:val="20"/>
          <w:szCs w:val="20"/>
          <w:lang w:val="en-US" w:eastAsia="zh-CN"/>
        </w:rPr>
      </w:pPr>
      <w:r>
        <w:rPr>
          <w:rFonts w:hint="eastAsia"/>
          <w:b/>
          <w:bCs/>
          <w:i/>
          <w:iCs/>
          <w:sz w:val="20"/>
          <w:szCs w:val="20"/>
          <w:lang w:val="en-US" w:eastAsia="zh-CN"/>
        </w:rPr>
        <w:t xml:space="preserve">Proposal 2: The SSB adaptation based SCell activation requirements can not be applied for </w:t>
      </w:r>
      <w:r>
        <w:rPr>
          <w:rFonts w:hint="default"/>
          <w:b/>
          <w:bCs/>
          <w:i/>
          <w:iCs/>
          <w:sz w:val="20"/>
          <w:szCs w:val="20"/>
          <w:lang w:val="en-US" w:eastAsia="zh-CN"/>
        </w:rPr>
        <w:t>‘</w:t>
      </w:r>
      <w:r>
        <w:rPr>
          <w:rFonts w:hint="eastAsia"/>
          <w:b/>
          <w:bCs/>
          <w:i/>
          <w:iCs/>
          <w:sz w:val="20"/>
          <w:szCs w:val="20"/>
          <w:lang w:val="en-US" w:eastAsia="zh-CN"/>
        </w:rPr>
        <w:t>Direct SCell activation</w:t>
      </w:r>
      <w:r>
        <w:rPr>
          <w:rFonts w:hint="default"/>
          <w:b/>
          <w:bCs/>
          <w:i/>
          <w:iCs/>
          <w:sz w:val="20"/>
          <w:szCs w:val="20"/>
          <w:lang w:val="en-US" w:eastAsia="zh-CN"/>
        </w:rPr>
        <w:t>’</w:t>
      </w:r>
      <w:r>
        <w:rPr>
          <w:rFonts w:hint="eastAsia"/>
          <w:b/>
          <w:bCs/>
          <w:i/>
          <w:iCs/>
          <w:sz w:val="20"/>
          <w:szCs w:val="20"/>
          <w:lang w:val="en-US" w:eastAsia="zh-CN"/>
        </w:rPr>
        <w:t>.</w:t>
      </w:r>
    </w:p>
    <w:p w14:paraId="05C3D8A4">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05EA73F">
      <w:pPr>
        <w:numPr>
          <w:ilvl w:val="0"/>
          <w:numId w:val="6"/>
        </w:numPr>
        <w:rPr>
          <w:rFonts w:hint="eastAsia"/>
          <w:sz w:val="20"/>
          <w:szCs w:val="20"/>
          <w:lang w:val="en-GB" w:eastAsia="zh-CN"/>
        </w:rPr>
      </w:pPr>
      <w:r>
        <w:rPr>
          <w:rFonts w:hint="eastAsia"/>
          <w:sz w:val="20"/>
          <w:szCs w:val="20"/>
          <w:lang w:val="en-US" w:eastAsia="zh-CN"/>
        </w:rPr>
        <w:t>R4-2508441, WF on RRM requirements for Netw_Energy_NR_enh_Part2, Huawei</w:t>
      </w:r>
    </w:p>
    <w:p w14:paraId="06E44DC3">
      <w:pPr>
        <w:numPr>
          <w:ilvl w:val="0"/>
          <w:numId w:val="0"/>
        </w:numPr>
        <w:rPr>
          <w:rFonts w:hint="eastAsia"/>
          <w:sz w:val="20"/>
          <w:szCs w:val="20"/>
          <w:lang w:val="en-GB" w:eastAsia="zh-CN"/>
        </w:rPr>
      </w:pPr>
    </w:p>
    <w:p w14:paraId="15FAE36F">
      <w:pPr>
        <w:numPr>
          <w:ilvl w:val="0"/>
          <w:numId w:val="0"/>
        </w:numPr>
        <w:rPr>
          <w:rFonts w:hint="eastAsia"/>
          <w:sz w:val="20"/>
          <w:szCs w:val="20"/>
          <w:lang w:val="en-GB" w:eastAsia="zh-CN"/>
        </w:rPr>
      </w:pPr>
    </w:p>
    <w:p w14:paraId="1A1537A6">
      <w:pPr>
        <w:numPr>
          <w:ilvl w:val="0"/>
          <w:numId w:val="0"/>
        </w:num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0146DC0"/>
    <w:multiLevelType w:val="multilevel"/>
    <w:tmpl w:val="70146DC0"/>
    <w:lvl w:ilvl="0" w:tentative="0">
      <w:start w:val="1"/>
      <w:numFmt w:val="bullet"/>
      <w:pStyle w:val="91"/>
      <w:lvlText w:val=""/>
      <w:lvlJc w:val="left"/>
      <w:pPr>
        <w:tabs>
          <w:tab w:val="left" w:pos="1800"/>
        </w:tabs>
        <w:ind w:left="180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5A09"/>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26C01AD"/>
    <w:rsid w:val="02811DB3"/>
    <w:rsid w:val="02A65CB5"/>
    <w:rsid w:val="03F16F56"/>
    <w:rsid w:val="0434763B"/>
    <w:rsid w:val="04605FB2"/>
    <w:rsid w:val="056C0B5C"/>
    <w:rsid w:val="059B2FBB"/>
    <w:rsid w:val="05B66B2B"/>
    <w:rsid w:val="05C31792"/>
    <w:rsid w:val="05E9310D"/>
    <w:rsid w:val="05ED3B2D"/>
    <w:rsid w:val="06380D63"/>
    <w:rsid w:val="06C938D1"/>
    <w:rsid w:val="06D13BC6"/>
    <w:rsid w:val="0775691E"/>
    <w:rsid w:val="07DA1FDB"/>
    <w:rsid w:val="07E010CA"/>
    <w:rsid w:val="08966482"/>
    <w:rsid w:val="09063CAD"/>
    <w:rsid w:val="091F2183"/>
    <w:rsid w:val="09927D61"/>
    <w:rsid w:val="09DA048F"/>
    <w:rsid w:val="0A726FAB"/>
    <w:rsid w:val="0AC91636"/>
    <w:rsid w:val="0AD74098"/>
    <w:rsid w:val="0AE60031"/>
    <w:rsid w:val="0B3F7A8C"/>
    <w:rsid w:val="0B901DF3"/>
    <w:rsid w:val="0E592C66"/>
    <w:rsid w:val="0F125ACD"/>
    <w:rsid w:val="0F4030E6"/>
    <w:rsid w:val="10252A5E"/>
    <w:rsid w:val="103633B9"/>
    <w:rsid w:val="105C4837"/>
    <w:rsid w:val="11775C6E"/>
    <w:rsid w:val="125263AC"/>
    <w:rsid w:val="12F708E7"/>
    <w:rsid w:val="12FB52D6"/>
    <w:rsid w:val="13C54761"/>
    <w:rsid w:val="143D39A6"/>
    <w:rsid w:val="144F009D"/>
    <w:rsid w:val="146E158D"/>
    <w:rsid w:val="14E02C25"/>
    <w:rsid w:val="157B2E35"/>
    <w:rsid w:val="15F8258F"/>
    <w:rsid w:val="164F7B75"/>
    <w:rsid w:val="175519EF"/>
    <w:rsid w:val="17EE0B2A"/>
    <w:rsid w:val="186347A6"/>
    <w:rsid w:val="187E0711"/>
    <w:rsid w:val="18831A63"/>
    <w:rsid w:val="194C056B"/>
    <w:rsid w:val="198E3F9B"/>
    <w:rsid w:val="19977565"/>
    <w:rsid w:val="1A367ECB"/>
    <w:rsid w:val="1A5E6A80"/>
    <w:rsid w:val="1AA908A3"/>
    <w:rsid w:val="1B311BB0"/>
    <w:rsid w:val="1B81057D"/>
    <w:rsid w:val="1C2A4303"/>
    <w:rsid w:val="1C4140A3"/>
    <w:rsid w:val="1C7E3BD3"/>
    <w:rsid w:val="1CBA70AF"/>
    <w:rsid w:val="1D2B280C"/>
    <w:rsid w:val="1D5B4C92"/>
    <w:rsid w:val="1D5F76BA"/>
    <w:rsid w:val="1DE54287"/>
    <w:rsid w:val="1DF035A9"/>
    <w:rsid w:val="1EB2708E"/>
    <w:rsid w:val="1F6714C5"/>
    <w:rsid w:val="21F31B70"/>
    <w:rsid w:val="2212587A"/>
    <w:rsid w:val="22394DC0"/>
    <w:rsid w:val="2261677D"/>
    <w:rsid w:val="228710D8"/>
    <w:rsid w:val="238D325A"/>
    <w:rsid w:val="238F7F15"/>
    <w:rsid w:val="248F342A"/>
    <w:rsid w:val="2539010A"/>
    <w:rsid w:val="25C32E03"/>
    <w:rsid w:val="25EB7656"/>
    <w:rsid w:val="26455B2C"/>
    <w:rsid w:val="26C167B6"/>
    <w:rsid w:val="270D633C"/>
    <w:rsid w:val="27496E3C"/>
    <w:rsid w:val="27786ACC"/>
    <w:rsid w:val="281E7DD6"/>
    <w:rsid w:val="285172BC"/>
    <w:rsid w:val="2884631A"/>
    <w:rsid w:val="28A67D37"/>
    <w:rsid w:val="28CB714E"/>
    <w:rsid w:val="29AF71E8"/>
    <w:rsid w:val="29DD14E4"/>
    <w:rsid w:val="29F62D53"/>
    <w:rsid w:val="2A2B6CE0"/>
    <w:rsid w:val="2A807AE4"/>
    <w:rsid w:val="2A86553C"/>
    <w:rsid w:val="2C5C2FEC"/>
    <w:rsid w:val="2C5C418D"/>
    <w:rsid w:val="2CA30CBD"/>
    <w:rsid w:val="2D202CAF"/>
    <w:rsid w:val="2D322639"/>
    <w:rsid w:val="2D921625"/>
    <w:rsid w:val="2DC659D1"/>
    <w:rsid w:val="2DD75F9C"/>
    <w:rsid w:val="2E464966"/>
    <w:rsid w:val="2E535EC2"/>
    <w:rsid w:val="2E683C59"/>
    <w:rsid w:val="2E871184"/>
    <w:rsid w:val="2F5838B9"/>
    <w:rsid w:val="2FAB5E48"/>
    <w:rsid w:val="3007171F"/>
    <w:rsid w:val="312749F9"/>
    <w:rsid w:val="328479C9"/>
    <w:rsid w:val="328A418D"/>
    <w:rsid w:val="3346489F"/>
    <w:rsid w:val="34785525"/>
    <w:rsid w:val="34F2407C"/>
    <w:rsid w:val="36164F55"/>
    <w:rsid w:val="365E056F"/>
    <w:rsid w:val="366E56BE"/>
    <w:rsid w:val="3676329D"/>
    <w:rsid w:val="37092A32"/>
    <w:rsid w:val="372F4478"/>
    <w:rsid w:val="3895132C"/>
    <w:rsid w:val="38D95D5B"/>
    <w:rsid w:val="38E4448D"/>
    <w:rsid w:val="39E43EC7"/>
    <w:rsid w:val="3A10328B"/>
    <w:rsid w:val="3A622FD7"/>
    <w:rsid w:val="3AC86875"/>
    <w:rsid w:val="3C045223"/>
    <w:rsid w:val="3C0B377F"/>
    <w:rsid w:val="3C66551A"/>
    <w:rsid w:val="3CE57EB2"/>
    <w:rsid w:val="3D3F1B31"/>
    <w:rsid w:val="3D757E60"/>
    <w:rsid w:val="3D8D382E"/>
    <w:rsid w:val="3DCE20FC"/>
    <w:rsid w:val="3E6A7347"/>
    <w:rsid w:val="3E78350E"/>
    <w:rsid w:val="3EDE44D4"/>
    <w:rsid w:val="3FCE5A5F"/>
    <w:rsid w:val="40061999"/>
    <w:rsid w:val="41766342"/>
    <w:rsid w:val="4195149B"/>
    <w:rsid w:val="419A3079"/>
    <w:rsid w:val="41A316E7"/>
    <w:rsid w:val="41B96EC5"/>
    <w:rsid w:val="420333A8"/>
    <w:rsid w:val="42272596"/>
    <w:rsid w:val="4434225B"/>
    <w:rsid w:val="443D3D86"/>
    <w:rsid w:val="446B2DE2"/>
    <w:rsid w:val="45263B26"/>
    <w:rsid w:val="469C1468"/>
    <w:rsid w:val="46A8131D"/>
    <w:rsid w:val="46DB4C8A"/>
    <w:rsid w:val="47117ED3"/>
    <w:rsid w:val="47B63C6D"/>
    <w:rsid w:val="4A6045A0"/>
    <w:rsid w:val="4A7D13F1"/>
    <w:rsid w:val="4AA27C3D"/>
    <w:rsid w:val="4B077541"/>
    <w:rsid w:val="4B1E335D"/>
    <w:rsid w:val="4B920C94"/>
    <w:rsid w:val="4BD06085"/>
    <w:rsid w:val="4C5002EC"/>
    <w:rsid w:val="4CC9678E"/>
    <w:rsid w:val="4D02644B"/>
    <w:rsid w:val="4D1F0167"/>
    <w:rsid w:val="4DCA3EC3"/>
    <w:rsid w:val="4E2931CA"/>
    <w:rsid w:val="4E385321"/>
    <w:rsid w:val="4E3A6736"/>
    <w:rsid w:val="4E4D5343"/>
    <w:rsid w:val="4E6C0BC5"/>
    <w:rsid w:val="4EDF1DB1"/>
    <w:rsid w:val="4F8A27BF"/>
    <w:rsid w:val="4FAF0931"/>
    <w:rsid w:val="50104BC8"/>
    <w:rsid w:val="50406436"/>
    <w:rsid w:val="508E6F34"/>
    <w:rsid w:val="51193AF8"/>
    <w:rsid w:val="51A7125B"/>
    <w:rsid w:val="52A0321A"/>
    <w:rsid w:val="52F014E6"/>
    <w:rsid w:val="53AC779A"/>
    <w:rsid w:val="541B64BA"/>
    <w:rsid w:val="54343997"/>
    <w:rsid w:val="54A32364"/>
    <w:rsid w:val="54C75926"/>
    <w:rsid w:val="550F4C67"/>
    <w:rsid w:val="55633225"/>
    <w:rsid w:val="55855327"/>
    <w:rsid w:val="55A209EE"/>
    <w:rsid w:val="560918AE"/>
    <w:rsid w:val="56134310"/>
    <w:rsid w:val="5670596C"/>
    <w:rsid w:val="56864D16"/>
    <w:rsid w:val="57107129"/>
    <w:rsid w:val="573D7FEC"/>
    <w:rsid w:val="575F74D4"/>
    <w:rsid w:val="57761081"/>
    <w:rsid w:val="5796443F"/>
    <w:rsid w:val="57C552B8"/>
    <w:rsid w:val="58AA2F55"/>
    <w:rsid w:val="58E45E13"/>
    <w:rsid w:val="59316355"/>
    <w:rsid w:val="5A0D7524"/>
    <w:rsid w:val="5A624644"/>
    <w:rsid w:val="5A7E4F33"/>
    <w:rsid w:val="5B0372E4"/>
    <w:rsid w:val="5B1248DB"/>
    <w:rsid w:val="5B475FB3"/>
    <w:rsid w:val="5C3F0114"/>
    <w:rsid w:val="5D111C3D"/>
    <w:rsid w:val="5D4F5A5E"/>
    <w:rsid w:val="5D52426E"/>
    <w:rsid w:val="5E19471E"/>
    <w:rsid w:val="5E2A27D6"/>
    <w:rsid w:val="5E6B3912"/>
    <w:rsid w:val="5EC475D6"/>
    <w:rsid w:val="5EFC6FEB"/>
    <w:rsid w:val="5F5D21FE"/>
    <w:rsid w:val="5F707BCD"/>
    <w:rsid w:val="5FB574AB"/>
    <w:rsid w:val="5FC86F8E"/>
    <w:rsid w:val="5FD22CE7"/>
    <w:rsid w:val="60046178"/>
    <w:rsid w:val="60F65564"/>
    <w:rsid w:val="61253125"/>
    <w:rsid w:val="61A76F12"/>
    <w:rsid w:val="61F5344E"/>
    <w:rsid w:val="62DF6110"/>
    <w:rsid w:val="630E4B38"/>
    <w:rsid w:val="63792484"/>
    <w:rsid w:val="63BA7386"/>
    <w:rsid w:val="63E00997"/>
    <w:rsid w:val="660721B4"/>
    <w:rsid w:val="667C7355"/>
    <w:rsid w:val="66FE4D4B"/>
    <w:rsid w:val="67591C17"/>
    <w:rsid w:val="67F33176"/>
    <w:rsid w:val="67F9721F"/>
    <w:rsid w:val="688D6724"/>
    <w:rsid w:val="6A13360C"/>
    <w:rsid w:val="6A1B0A0D"/>
    <w:rsid w:val="6A4D75E7"/>
    <w:rsid w:val="6B297D4F"/>
    <w:rsid w:val="6B8B57B2"/>
    <w:rsid w:val="6BDC7C84"/>
    <w:rsid w:val="6C3C1BF0"/>
    <w:rsid w:val="6C9A7CBE"/>
    <w:rsid w:val="6CE8143C"/>
    <w:rsid w:val="6CEC68F6"/>
    <w:rsid w:val="6D376B5F"/>
    <w:rsid w:val="6DEB4013"/>
    <w:rsid w:val="6E156513"/>
    <w:rsid w:val="6E48673C"/>
    <w:rsid w:val="6F8421CA"/>
    <w:rsid w:val="700379F2"/>
    <w:rsid w:val="70534BFD"/>
    <w:rsid w:val="714F65D4"/>
    <w:rsid w:val="71D432D4"/>
    <w:rsid w:val="71EA4F92"/>
    <w:rsid w:val="727805A8"/>
    <w:rsid w:val="72C016C8"/>
    <w:rsid w:val="738E1AE0"/>
    <w:rsid w:val="748C49C6"/>
    <w:rsid w:val="74D43C38"/>
    <w:rsid w:val="74F9640C"/>
    <w:rsid w:val="75307AD5"/>
    <w:rsid w:val="75FA3264"/>
    <w:rsid w:val="7656513E"/>
    <w:rsid w:val="767543BB"/>
    <w:rsid w:val="76A87E18"/>
    <w:rsid w:val="76B71C18"/>
    <w:rsid w:val="76C4680D"/>
    <w:rsid w:val="76F352B7"/>
    <w:rsid w:val="773853D9"/>
    <w:rsid w:val="77F5053C"/>
    <w:rsid w:val="78395B74"/>
    <w:rsid w:val="7883331E"/>
    <w:rsid w:val="78A20C1B"/>
    <w:rsid w:val="78D7305C"/>
    <w:rsid w:val="78E42393"/>
    <w:rsid w:val="79727D19"/>
    <w:rsid w:val="79951646"/>
    <w:rsid w:val="7A7535BE"/>
    <w:rsid w:val="7AD71133"/>
    <w:rsid w:val="7ADA578F"/>
    <w:rsid w:val="7B2569DF"/>
    <w:rsid w:val="7B4C0432"/>
    <w:rsid w:val="7BBB337B"/>
    <w:rsid w:val="7BC93DFF"/>
    <w:rsid w:val="7C3B4CC2"/>
    <w:rsid w:val="7DDF358F"/>
    <w:rsid w:val="7E3C3FAA"/>
    <w:rsid w:val="7E86642D"/>
    <w:rsid w:val="7F0740B3"/>
    <w:rsid w:val="7F73742C"/>
    <w:rsid w:val="7F9805A1"/>
    <w:rsid w:val="7FAB0C76"/>
    <w:rsid w:val="7FD654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 w:type="paragraph" w:customStyle="1" w:styleId="90">
    <w:name w:val="List Paragraph9"/>
    <w:basedOn w:val="1"/>
    <w:qFormat/>
    <w:uiPriority w:val="0"/>
    <w:pPr>
      <w:ind w:left="840" w:leftChars="400"/>
    </w:pPr>
    <w:rPr>
      <w:lang w:eastAsia="zh-CN"/>
    </w:rPr>
  </w:style>
  <w:style w:type="paragraph" w:customStyle="1" w:styleId="91">
    <w:name w:val="Agreement"/>
    <w:basedOn w:val="1"/>
    <w:next w:val="65"/>
    <w:qFormat/>
    <w:uiPriority w:val="0"/>
    <w:pPr>
      <w:numPr>
        <w:ilvl w:val="0"/>
        <w:numId w:val="3"/>
      </w:numPr>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Pages>
  <Words>1416</Words>
  <Characters>8076</Characters>
  <Lines>67</Lines>
  <Paragraphs>18</Paragraphs>
  <TotalTime>2</TotalTime>
  <ScaleCrop>false</ScaleCrop>
  <LinksUpToDate>false</LinksUpToDate>
  <CharactersWithSpaces>9474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2025-08-15T06:06:52Z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3F7F152D7F8A40E285BF429EB61BAE41</vt:lpwstr>
  </property>
</Properties>
</file>